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C1" w:rsidRDefault="00B66EC1" w:rsidP="00B66EC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6"/>
          <w:szCs w:val="36"/>
        </w:rPr>
      </w:pPr>
      <w:r w:rsidRPr="00B66EC1">
        <w:rPr>
          <w:rStyle w:val="c0"/>
          <w:b/>
          <w:color w:val="000000"/>
          <w:sz w:val="36"/>
          <w:szCs w:val="36"/>
        </w:rPr>
        <w:t>Аналитическая справка по результатам педагогического мониторинга</w:t>
      </w:r>
      <w:r>
        <w:rPr>
          <w:rStyle w:val="c0"/>
          <w:b/>
          <w:color w:val="000000"/>
          <w:sz w:val="36"/>
          <w:szCs w:val="36"/>
        </w:rPr>
        <w:t xml:space="preserve"> в подготовительной группе</w:t>
      </w:r>
      <w:r w:rsidRPr="00B66EC1">
        <w:rPr>
          <w:rStyle w:val="c0"/>
          <w:b/>
          <w:color w:val="000000"/>
          <w:sz w:val="36"/>
          <w:szCs w:val="36"/>
        </w:rPr>
        <w:t xml:space="preserve"> на </w:t>
      </w:r>
      <w:r>
        <w:rPr>
          <w:rStyle w:val="c0"/>
          <w:b/>
          <w:color w:val="000000"/>
          <w:sz w:val="36"/>
          <w:szCs w:val="36"/>
        </w:rPr>
        <w:t>2019-2020 учебный год.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66EC1">
        <w:rPr>
          <w:rStyle w:val="c0"/>
          <w:b/>
          <w:color w:val="000000"/>
          <w:sz w:val="28"/>
          <w:szCs w:val="28"/>
        </w:rPr>
        <w:t>Начало года.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В мониторинге участвовали: 25 детей.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В ходе мониторинга использовали методы: педагогическое наблюдение, беседа, анализ продуктивной деятельности, дидактический материал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Мониторинг проводился по следующим областям: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6EC1">
        <w:rPr>
          <w:rStyle w:val="c0"/>
          <w:color w:val="000000"/>
          <w:sz w:val="28"/>
          <w:szCs w:val="28"/>
        </w:rPr>
        <w:t>Речевое</w:t>
      </w:r>
      <w:proofErr w:type="gramEnd"/>
      <w:r w:rsidRPr="00B66EC1">
        <w:rPr>
          <w:rStyle w:val="c0"/>
          <w:color w:val="000000"/>
          <w:sz w:val="28"/>
          <w:szCs w:val="28"/>
        </w:rPr>
        <w:t xml:space="preserve"> развития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Познавательное развитие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Социально-коммуникативное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Художественно-эстетическое развитие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Физическое развитие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Результаты: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Программный материал (по всем 5 образовательным областям) усвоен детьми подготовительной к школе группы: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-на высоком уровне в -  38%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-на среднем уровне - в 62%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-низкий уровень – 10%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Анализ мониторинга образовательного процесса позволяет выстроить следующий рейтинговый порядок усвоения образовательных областей:</w:t>
      </w:r>
    </w:p>
    <w:p w:rsid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 xml:space="preserve">1. </w:t>
      </w:r>
      <w:r w:rsidRPr="00B66EC1">
        <w:rPr>
          <w:rStyle w:val="c0"/>
          <w:b/>
          <w:color w:val="000000"/>
          <w:sz w:val="28"/>
          <w:szCs w:val="28"/>
        </w:rPr>
        <w:t>Образовательная область «Физическое развитие»</w:t>
      </w:r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высокий</w:t>
      </w:r>
      <w:proofErr w:type="gramEnd"/>
      <w:r>
        <w:rPr>
          <w:rStyle w:val="c0"/>
          <w:color w:val="000000"/>
          <w:sz w:val="28"/>
          <w:szCs w:val="28"/>
        </w:rPr>
        <w:t xml:space="preserve"> - 68%; средний – 2</w:t>
      </w:r>
      <w:r w:rsidRPr="00B66EC1">
        <w:rPr>
          <w:rStyle w:val="c0"/>
          <w:color w:val="000000"/>
          <w:sz w:val="28"/>
          <w:szCs w:val="28"/>
        </w:rPr>
        <w:t>2%</w:t>
      </w:r>
      <w:r>
        <w:rPr>
          <w:rStyle w:val="c0"/>
          <w:color w:val="000000"/>
          <w:sz w:val="28"/>
          <w:szCs w:val="28"/>
        </w:rPr>
        <w:t>; низкий – 10%</w:t>
      </w:r>
      <w:r w:rsidRPr="00B66EC1">
        <w:rPr>
          <w:rStyle w:val="c0"/>
          <w:color w:val="000000"/>
          <w:sz w:val="28"/>
          <w:szCs w:val="28"/>
        </w:rPr>
        <w:t>). 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Рекомендации: продолжить работу  в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b/>
          <w:color w:val="000000"/>
          <w:sz w:val="28"/>
          <w:szCs w:val="28"/>
        </w:rPr>
        <w:t>2.Образовательная область «Художественно - эстетическое развитие»</w:t>
      </w:r>
      <w:r w:rsidRPr="00B66EC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B66EC1">
        <w:rPr>
          <w:rStyle w:val="c0"/>
          <w:color w:val="000000"/>
          <w:sz w:val="28"/>
          <w:szCs w:val="28"/>
        </w:rPr>
        <w:t>высокий</w:t>
      </w:r>
      <w:proofErr w:type="gramEnd"/>
      <w:r w:rsidRPr="00B66EC1">
        <w:rPr>
          <w:rStyle w:val="c0"/>
          <w:color w:val="000000"/>
          <w:sz w:val="28"/>
          <w:szCs w:val="28"/>
        </w:rPr>
        <w:t xml:space="preserve"> - 44%; средний - 44%; низкий-12%).  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 xml:space="preserve"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</w:t>
      </w:r>
      <w:r w:rsidRPr="00B66EC1">
        <w:rPr>
          <w:rStyle w:val="c0"/>
          <w:color w:val="000000"/>
          <w:sz w:val="28"/>
          <w:szCs w:val="28"/>
        </w:rPr>
        <w:lastRenderedPageBreak/>
        <w:t>народных игрушек. Создают небольшие сюжетные композиции, но допускают ошибки при передаче пропорции, позы и движения фигур.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В лепке дети лепят предметы разной формы, используя усвоенные приемы и способы.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 xml:space="preserve">Рекомендации: шире использовать нетрадиционные техники; создавать на занятиях проблемные ситуации, активизирующие творческое воображение </w:t>
      </w:r>
      <w:proofErr w:type="gramStart"/>
      <w:r w:rsidRPr="00B66EC1">
        <w:rPr>
          <w:rStyle w:val="c0"/>
          <w:color w:val="000000"/>
          <w:sz w:val="28"/>
          <w:szCs w:val="28"/>
        </w:rPr>
        <w:t>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</w:t>
      </w:r>
      <w:proofErr w:type="gramEnd"/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 </w:t>
      </w:r>
      <w:r w:rsidRPr="00B66EC1">
        <w:rPr>
          <w:rStyle w:val="c0"/>
          <w:b/>
          <w:color w:val="000000"/>
          <w:sz w:val="28"/>
          <w:szCs w:val="28"/>
        </w:rPr>
        <w:t xml:space="preserve">3. Образовательная область «Развитие речи» </w:t>
      </w:r>
      <w:r w:rsidRPr="00B66EC1">
        <w:rPr>
          <w:rStyle w:val="c0"/>
          <w:color w:val="000000"/>
          <w:sz w:val="28"/>
          <w:szCs w:val="28"/>
        </w:rPr>
        <w:t>(</w:t>
      </w:r>
      <w:proofErr w:type="gramStart"/>
      <w:r w:rsidRPr="00B66EC1">
        <w:rPr>
          <w:rStyle w:val="c0"/>
          <w:color w:val="000000"/>
          <w:sz w:val="28"/>
          <w:szCs w:val="28"/>
        </w:rPr>
        <w:t>высокий</w:t>
      </w:r>
      <w:proofErr w:type="gramEnd"/>
      <w:r w:rsidRPr="00B66EC1">
        <w:rPr>
          <w:rStyle w:val="c0"/>
          <w:color w:val="000000"/>
          <w:sz w:val="28"/>
          <w:szCs w:val="28"/>
        </w:rPr>
        <w:t xml:space="preserve"> -38%;средний – 52%;низкий- 10%). 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Рекомендации: 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b/>
          <w:color w:val="000000"/>
          <w:sz w:val="28"/>
          <w:szCs w:val="28"/>
        </w:rPr>
        <w:t xml:space="preserve">4.Образовательная область «Социально – коммуникативное развитие» </w:t>
      </w:r>
      <w:r w:rsidRPr="00B66EC1">
        <w:rPr>
          <w:rStyle w:val="c0"/>
          <w:color w:val="000000"/>
          <w:sz w:val="28"/>
          <w:szCs w:val="28"/>
        </w:rPr>
        <w:t xml:space="preserve">(Высокий -56%; средний -36%; низкий-8%) .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</w:t>
      </w:r>
      <w:proofErr w:type="spellStart"/>
      <w:r w:rsidRPr="00B66EC1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B66EC1">
        <w:rPr>
          <w:rStyle w:val="c0"/>
          <w:color w:val="000000"/>
          <w:sz w:val="28"/>
          <w:szCs w:val="28"/>
        </w:rPr>
        <w:t xml:space="preserve"> коммуникативных компетенций и плохая организация самостоятельной деятельности.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Рекомендации: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b/>
          <w:color w:val="000000"/>
          <w:sz w:val="28"/>
          <w:szCs w:val="28"/>
        </w:rPr>
        <w:lastRenderedPageBreak/>
        <w:t>5. Образовательная область  «Познавательное развитие»</w:t>
      </w:r>
      <w:r w:rsidRPr="00B66EC1">
        <w:rPr>
          <w:rStyle w:val="c0"/>
          <w:color w:val="000000"/>
          <w:sz w:val="28"/>
          <w:szCs w:val="28"/>
        </w:rPr>
        <w:t xml:space="preserve"> (Высокий -36%; средний -56%; низкий- 8%) 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плохой организации у некоторых воспитанников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Рекомендации: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0"/>
          <w:color w:val="000000"/>
          <w:sz w:val="28"/>
          <w:szCs w:val="28"/>
        </w:rPr>
        <w:t>Выводы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2"/>
          <w:color w:val="000000"/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2"/>
          <w:color w:val="000000"/>
          <w:sz w:val="28"/>
          <w:szCs w:val="28"/>
        </w:rPr>
        <w:t>2. Необходимо больше внимания уделять просветительской работе с родителями воспитанников.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66EC1">
        <w:rPr>
          <w:rStyle w:val="c4"/>
          <w:color w:val="000000"/>
          <w:sz w:val="28"/>
          <w:szCs w:val="28"/>
        </w:rPr>
        <w:t>    </w:t>
      </w:r>
      <w:r w:rsidRPr="00B66EC1">
        <w:rPr>
          <w:rStyle w:val="c2"/>
          <w:color w:val="000000"/>
          <w:sz w:val="28"/>
          <w:szCs w:val="28"/>
        </w:rPr>
        <w:t>Результаты получены 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66EC1">
        <w:rPr>
          <w:rStyle w:val="c4"/>
          <w:color w:val="000000"/>
          <w:sz w:val="28"/>
          <w:szCs w:val="28"/>
        </w:rPr>
        <w:t>     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B66EC1">
        <w:rPr>
          <w:rStyle w:val="c16"/>
          <w:b/>
          <w:bCs/>
          <w:color w:val="000000"/>
          <w:sz w:val="36"/>
          <w:szCs w:val="36"/>
        </w:rPr>
        <w:t>Аналитическая справка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B66EC1">
        <w:rPr>
          <w:rStyle w:val="c30"/>
          <w:b/>
          <w:bCs/>
          <w:color w:val="000000"/>
          <w:sz w:val="36"/>
          <w:szCs w:val="36"/>
        </w:rPr>
        <w:t>по итогам мониторинга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B66EC1">
        <w:rPr>
          <w:rStyle w:val="c30"/>
          <w:b/>
          <w:bCs/>
          <w:color w:val="000000"/>
          <w:sz w:val="36"/>
          <w:szCs w:val="36"/>
        </w:rPr>
        <w:t>достижения детьми планируемых результатов</w:t>
      </w:r>
    </w:p>
    <w:p w:rsidR="00B66EC1" w:rsidRDefault="00B66EC1" w:rsidP="00B66EC1">
      <w:pPr>
        <w:pStyle w:val="c3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36"/>
          <w:szCs w:val="36"/>
        </w:rPr>
      </w:pPr>
      <w:r w:rsidRPr="00B66EC1">
        <w:rPr>
          <w:rStyle w:val="c30"/>
          <w:b/>
          <w:bCs/>
          <w:color w:val="000000"/>
          <w:sz w:val="36"/>
          <w:szCs w:val="36"/>
        </w:rPr>
        <w:t>освоения основной образовательной программы</w:t>
      </w:r>
      <w:r>
        <w:rPr>
          <w:rStyle w:val="c30"/>
          <w:b/>
          <w:bCs/>
          <w:color w:val="000000"/>
          <w:sz w:val="36"/>
          <w:szCs w:val="36"/>
        </w:rPr>
        <w:t xml:space="preserve"> в подготовительной группе.</w:t>
      </w: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28"/>
          <w:szCs w:val="28"/>
        </w:rPr>
      </w:pP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color w:val="000000"/>
          <w:sz w:val="28"/>
          <w:szCs w:val="28"/>
        </w:rPr>
        <w:t>В мониторинге участвовали: 25 детей.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color w:val="000000"/>
          <w:sz w:val="28"/>
          <w:szCs w:val="28"/>
        </w:rPr>
        <w:t>В ходе мониторинга использовали методы: педагогическое наблюдение, беседа, анализ продуктивной деятельности, дидактический материал.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Мониторинг проводился по следующим областям: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Речевое развитие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Познавательное развитие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Социально-коммуникативное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lastRenderedPageBreak/>
        <w:t>Художественно-эстетическое развитие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Физическое развитие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Результаты: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Программный материал (по всем 5 образовательным областям) усвоен детьми подготовительной к школе группы: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-на высоком уровне в - 51%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-на среднем уровне - в 49%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-низкий уровень сведён к минимуму.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Анализ мониторинга образовательного процесса позволяет выстроить следующий рейтинговый порядок усвоения образовательных областей: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sz w:val="28"/>
          <w:szCs w:val="28"/>
        </w:rPr>
        <w:t>1. </w:t>
      </w:r>
      <w:r w:rsidRPr="00B66EC1">
        <w:rPr>
          <w:b/>
          <w:bCs/>
          <w:sz w:val="28"/>
          <w:szCs w:val="28"/>
        </w:rPr>
        <w:t>Образовательная область «Физическое развитие» (</w:t>
      </w:r>
      <w:proofErr w:type="gramStart"/>
      <w:r w:rsidRPr="00B66EC1">
        <w:rPr>
          <w:b/>
          <w:bCs/>
          <w:sz w:val="28"/>
          <w:szCs w:val="28"/>
        </w:rPr>
        <w:t>высокий</w:t>
      </w:r>
      <w:proofErr w:type="gramEnd"/>
      <w:r w:rsidRPr="00B66EC1">
        <w:rPr>
          <w:b/>
          <w:bCs/>
          <w:sz w:val="28"/>
          <w:szCs w:val="28"/>
        </w:rPr>
        <w:t xml:space="preserve"> - 82%; средний – 18%).</w:t>
      </w:r>
      <w:r w:rsidRPr="00B66EC1">
        <w:rPr>
          <w:sz w:val="28"/>
          <w:szCs w:val="28"/>
        </w:rPr>
        <w:t> 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B66EC1" w:rsidRPr="00B66EC1" w:rsidRDefault="00B66EC1" w:rsidP="00B66EC1">
      <w:pPr>
        <w:pStyle w:val="a3"/>
        <w:spacing w:before="0" w:beforeAutospacing="0" w:after="0" w:afterAutospacing="0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Рекомендации</w:t>
      </w:r>
      <w:r w:rsidRPr="00B66EC1">
        <w:rPr>
          <w:sz w:val="28"/>
          <w:szCs w:val="28"/>
        </w:rPr>
        <w:t>: продолжить работу и летом в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2</w:t>
      </w:r>
      <w:r w:rsidRPr="00B66EC1">
        <w:rPr>
          <w:b/>
          <w:bCs/>
          <w:sz w:val="28"/>
          <w:szCs w:val="28"/>
        </w:rPr>
        <w:t>.Образовательная область «Художественно - эстетическое развит</w:t>
      </w:r>
      <w:r w:rsidR="004317AD">
        <w:rPr>
          <w:b/>
          <w:bCs/>
          <w:sz w:val="28"/>
          <w:szCs w:val="28"/>
        </w:rPr>
        <w:t>ие» (</w:t>
      </w:r>
      <w:proofErr w:type="gramStart"/>
      <w:r w:rsidR="004317AD">
        <w:rPr>
          <w:b/>
          <w:bCs/>
          <w:sz w:val="28"/>
          <w:szCs w:val="28"/>
        </w:rPr>
        <w:t>высокий</w:t>
      </w:r>
      <w:proofErr w:type="gramEnd"/>
      <w:r w:rsidR="004317AD">
        <w:rPr>
          <w:b/>
          <w:bCs/>
          <w:sz w:val="28"/>
          <w:szCs w:val="28"/>
        </w:rPr>
        <w:t xml:space="preserve"> - 52%; средний - 46</w:t>
      </w:r>
      <w:r w:rsidRPr="00B66EC1">
        <w:rPr>
          <w:b/>
          <w:bCs/>
          <w:sz w:val="28"/>
          <w:szCs w:val="28"/>
        </w:rPr>
        <w:t>%</w:t>
      </w:r>
      <w:r w:rsidR="004317AD">
        <w:rPr>
          <w:b/>
          <w:bCs/>
          <w:sz w:val="28"/>
          <w:szCs w:val="28"/>
        </w:rPr>
        <w:t>; низкий- 2%</w:t>
      </w:r>
      <w:r w:rsidRPr="00B66EC1">
        <w:rPr>
          <w:b/>
          <w:bCs/>
          <w:sz w:val="28"/>
          <w:szCs w:val="28"/>
        </w:rPr>
        <w:t>).</w:t>
      </w:r>
      <w:r w:rsidRPr="00B66EC1">
        <w:rPr>
          <w:sz w:val="28"/>
          <w:szCs w:val="28"/>
        </w:rPr>
        <w:t>  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</w:t>
      </w:r>
      <w:r w:rsidRPr="00B66EC1">
        <w:rPr>
          <w:color w:val="2B2B2B"/>
          <w:sz w:val="28"/>
          <w:szCs w:val="28"/>
        </w:rPr>
        <w:t>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В лепке дети лепят предметы разной формы, используя усвоенные приемы и способы.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66EC1">
        <w:rPr>
          <w:b/>
          <w:bCs/>
          <w:color w:val="2B2B2B"/>
          <w:sz w:val="28"/>
          <w:szCs w:val="28"/>
        </w:rPr>
        <w:t>Рекомендации:</w:t>
      </w:r>
      <w:r w:rsidRPr="00B66EC1">
        <w:rPr>
          <w:sz w:val="28"/>
          <w:szCs w:val="28"/>
        </w:rPr>
        <w:t xml:space="preserve"> 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</w:t>
      </w:r>
      <w:r w:rsidRPr="00B66EC1">
        <w:rPr>
          <w:sz w:val="28"/>
          <w:szCs w:val="28"/>
        </w:rPr>
        <w:lastRenderedPageBreak/>
        <w:t>для художественной деятельности (кисти, гуашь, акварель, пластилин, бумага разной окраски и фактуры, трафареты, раскраски и др.)</w:t>
      </w:r>
      <w:proofErr w:type="gramEnd"/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color w:val="2B2B2B"/>
          <w:sz w:val="28"/>
          <w:szCs w:val="28"/>
        </w:rPr>
        <w:t>3.</w:t>
      </w:r>
      <w:r w:rsidRPr="00B66EC1">
        <w:rPr>
          <w:b/>
          <w:bCs/>
          <w:sz w:val="28"/>
          <w:szCs w:val="28"/>
        </w:rPr>
        <w:t xml:space="preserve"> Образовательная область «Развитие </w:t>
      </w:r>
      <w:r w:rsidR="004317AD">
        <w:rPr>
          <w:b/>
          <w:bCs/>
          <w:sz w:val="28"/>
          <w:szCs w:val="28"/>
        </w:rPr>
        <w:t>речи» (</w:t>
      </w:r>
      <w:proofErr w:type="gramStart"/>
      <w:r w:rsidR="004317AD">
        <w:rPr>
          <w:b/>
          <w:bCs/>
          <w:sz w:val="28"/>
          <w:szCs w:val="28"/>
        </w:rPr>
        <w:t>высокий</w:t>
      </w:r>
      <w:proofErr w:type="gramEnd"/>
      <w:r w:rsidR="004317AD">
        <w:rPr>
          <w:b/>
          <w:bCs/>
          <w:sz w:val="28"/>
          <w:szCs w:val="28"/>
        </w:rPr>
        <w:t xml:space="preserve"> -48%;средний – 51</w:t>
      </w:r>
      <w:r w:rsidRPr="00B66EC1">
        <w:rPr>
          <w:b/>
          <w:bCs/>
          <w:sz w:val="28"/>
          <w:szCs w:val="28"/>
        </w:rPr>
        <w:t>%</w:t>
      </w:r>
      <w:r w:rsidR="004317AD">
        <w:rPr>
          <w:b/>
          <w:bCs/>
          <w:sz w:val="28"/>
          <w:szCs w:val="28"/>
        </w:rPr>
        <w:t>; низкий- 1%</w:t>
      </w:r>
      <w:r w:rsidRPr="00B66EC1">
        <w:rPr>
          <w:b/>
          <w:bCs/>
          <w:sz w:val="28"/>
          <w:szCs w:val="28"/>
        </w:rPr>
        <w:t>).</w:t>
      </w:r>
      <w:r w:rsidRPr="00B66EC1">
        <w:rPr>
          <w:sz w:val="28"/>
          <w:szCs w:val="28"/>
        </w:rPr>
        <w:t> 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Рекомендации:</w:t>
      </w:r>
      <w:r w:rsidRPr="00B66EC1">
        <w:rPr>
          <w:sz w:val="28"/>
          <w:szCs w:val="28"/>
        </w:rPr>
        <w:t> 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4.</w:t>
      </w:r>
      <w:r w:rsidRPr="00B66EC1">
        <w:rPr>
          <w:b/>
          <w:bCs/>
          <w:sz w:val="28"/>
          <w:szCs w:val="28"/>
        </w:rPr>
        <w:t>Образовательная область</w:t>
      </w:r>
      <w:r w:rsidRPr="00B66EC1">
        <w:rPr>
          <w:sz w:val="28"/>
          <w:szCs w:val="28"/>
        </w:rPr>
        <w:t> </w:t>
      </w:r>
      <w:r w:rsidRPr="00B66EC1">
        <w:rPr>
          <w:b/>
          <w:bCs/>
          <w:sz w:val="28"/>
          <w:szCs w:val="28"/>
        </w:rPr>
        <w:t>«Социально – коммун</w:t>
      </w:r>
      <w:r w:rsidR="004317AD">
        <w:rPr>
          <w:b/>
          <w:bCs/>
          <w:sz w:val="28"/>
          <w:szCs w:val="28"/>
        </w:rPr>
        <w:t>икативное развитие» (Высокий -58%; средний -41</w:t>
      </w:r>
      <w:r w:rsidRPr="00B66EC1">
        <w:rPr>
          <w:b/>
          <w:bCs/>
          <w:sz w:val="28"/>
          <w:szCs w:val="28"/>
        </w:rPr>
        <w:t>%</w:t>
      </w:r>
      <w:r w:rsidR="004317AD">
        <w:rPr>
          <w:b/>
          <w:bCs/>
          <w:sz w:val="28"/>
          <w:szCs w:val="28"/>
        </w:rPr>
        <w:t>; низкий- 1%</w:t>
      </w:r>
      <w:r w:rsidRPr="00B66EC1">
        <w:rPr>
          <w:b/>
          <w:bCs/>
          <w:sz w:val="28"/>
          <w:szCs w:val="28"/>
        </w:rPr>
        <w:t>)</w:t>
      </w:r>
      <w:r w:rsidRPr="00B66EC1">
        <w:rPr>
          <w:sz w:val="28"/>
          <w:szCs w:val="28"/>
        </w:rPr>
        <w:t> .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 </w:t>
      </w:r>
      <w:r w:rsidRPr="00B66EC1">
        <w:rPr>
          <w:color w:val="000000"/>
          <w:sz w:val="28"/>
          <w:szCs w:val="28"/>
        </w:rPr>
        <w:t>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</w:t>
      </w:r>
      <w:r w:rsidRPr="00B66EC1">
        <w:rPr>
          <w:sz w:val="28"/>
          <w:szCs w:val="28"/>
        </w:rPr>
        <w:t xml:space="preserve">. Следует отметить, что у некоторых детей недостаточная </w:t>
      </w:r>
      <w:proofErr w:type="spellStart"/>
      <w:r w:rsidRPr="00B66EC1">
        <w:rPr>
          <w:sz w:val="28"/>
          <w:szCs w:val="28"/>
        </w:rPr>
        <w:t>сформированность</w:t>
      </w:r>
      <w:proofErr w:type="spellEnd"/>
      <w:r w:rsidRPr="00B66EC1">
        <w:rPr>
          <w:sz w:val="28"/>
          <w:szCs w:val="28"/>
        </w:rPr>
        <w:t xml:space="preserve"> коммуникативных компетенций и плохая организация самостоятельной деятельности.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Рекомендации:</w:t>
      </w:r>
      <w:r w:rsidRPr="00B66EC1">
        <w:rPr>
          <w:sz w:val="28"/>
          <w:szCs w:val="28"/>
        </w:rPr>
        <w:t> 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</w:t>
      </w:r>
      <w:r w:rsidRPr="00B66EC1">
        <w:rPr>
          <w:color w:val="000000"/>
          <w:sz w:val="28"/>
          <w:szCs w:val="28"/>
        </w:rPr>
        <w:t> Индивидуальная работа с воспитанниками по безопасности поведения.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color w:val="2B2B2B"/>
          <w:sz w:val="28"/>
          <w:szCs w:val="28"/>
        </w:rPr>
        <w:t>5.</w:t>
      </w:r>
      <w:r w:rsidRPr="00B66EC1">
        <w:rPr>
          <w:b/>
          <w:bCs/>
          <w:sz w:val="28"/>
          <w:szCs w:val="28"/>
        </w:rPr>
        <w:t> Образовательная область. «Познавательное развитие»</w:t>
      </w:r>
      <w:r w:rsidRPr="00B66EC1">
        <w:rPr>
          <w:sz w:val="28"/>
          <w:szCs w:val="28"/>
        </w:rPr>
        <w:t> </w:t>
      </w:r>
      <w:r w:rsidR="004317AD">
        <w:rPr>
          <w:b/>
          <w:bCs/>
          <w:sz w:val="28"/>
          <w:szCs w:val="28"/>
        </w:rPr>
        <w:t>(Высокий -38</w:t>
      </w:r>
      <w:r w:rsidRPr="00B66EC1">
        <w:rPr>
          <w:b/>
          <w:bCs/>
          <w:sz w:val="28"/>
          <w:szCs w:val="28"/>
        </w:rPr>
        <w:t>%</w:t>
      </w:r>
      <w:r w:rsidR="004317AD">
        <w:rPr>
          <w:b/>
          <w:bCs/>
          <w:sz w:val="28"/>
          <w:szCs w:val="28"/>
        </w:rPr>
        <w:t>; средний -58</w:t>
      </w:r>
      <w:r w:rsidRPr="00B66EC1">
        <w:rPr>
          <w:b/>
          <w:bCs/>
          <w:sz w:val="28"/>
          <w:szCs w:val="28"/>
        </w:rPr>
        <w:t>%)</w:t>
      </w:r>
      <w:r w:rsidRPr="00B66EC1">
        <w:rPr>
          <w:sz w:val="28"/>
          <w:szCs w:val="28"/>
        </w:rPr>
        <w:t> 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 </w:t>
      </w:r>
      <w:r w:rsidRPr="00B66EC1">
        <w:rPr>
          <w:color w:val="000000"/>
          <w:sz w:val="28"/>
          <w:szCs w:val="28"/>
        </w:rPr>
        <w:t>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 </w:t>
      </w:r>
      <w:r w:rsidRPr="00B66EC1">
        <w:rPr>
          <w:sz w:val="28"/>
          <w:szCs w:val="28"/>
        </w:rPr>
        <w:t>плохой организации у некоторых воспитанников самостоятельной деятельности поведение во время занятий, дети часто отвлекаются, спорят, часто не могут заниматься совместной деятельностью.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lastRenderedPageBreak/>
        <w:t>Рекомендации:</w:t>
      </w:r>
      <w:r w:rsidRPr="00B66EC1">
        <w:rPr>
          <w:sz w:val="28"/>
          <w:szCs w:val="28"/>
        </w:rPr>
        <w:t> 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b/>
          <w:bCs/>
          <w:sz w:val="28"/>
          <w:szCs w:val="28"/>
        </w:rPr>
        <w:t>Выводы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 Так, 100% детей готовы к успешному обучению в школе, в том числе – 51% детей продемонстрировали высокий уровень готовности к школьному обучению. По итогам проведения мониторинга можно заключить, что: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2. Необходимо больше внимания уделять просветительской работе с родителями воспитанников.</w:t>
      </w:r>
    </w:p>
    <w:p w:rsidR="00B66EC1" w:rsidRP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    Результаты получены 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B66EC1" w:rsidRDefault="00B66EC1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66EC1">
        <w:rPr>
          <w:sz w:val="28"/>
          <w:szCs w:val="28"/>
        </w:rPr>
        <w:t>     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317AD">
        <w:rPr>
          <w:b/>
          <w:sz w:val="28"/>
          <w:szCs w:val="28"/>
        </w:rPr>
        <w:t>Физическое развитие:</w:t>
      </w: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Художественно-эстетическое развитие:</w:t>
      </w: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4317AD" w:rsidRDefault="004317AD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Познавательное развитие:</w:t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Социально-коммуникативное развитие:</w:t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Речевое развитие:</w:t>
      </w: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05A02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5A02" w:rsidRPr="004317AD" w:rsidRDefault="00905A02" w:rsidP="00B66EC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6EC1" w:rsidRPr="00B66EC1" w:rsidRDefault="00B66EC1" w:rsidP="00B66EC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6EC1" w:rsidRPr="00B66EC1" w:rsidRDefault="00B66EC1" w:rsidP="00B66E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6EC1">
        <w:rPr>
          <w:rStyle w:val="c0"/>
          <w:color w:val="000000"/>
          <w:sz w:val="28"/>
          <w:szCs w:val="28"/>
        </w:rPr>
        <w:t> </w:t>
      </w:r>
    </w:p>
    <w:p w:rsidR="00F8285C" w:rsidRDefault="00F8285C"/>
    <w:sectPr w:rsidR="00F8285C" w:rsidSect="00F8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EC1"/>
    <w:rsid w:val="004317AD"/>
    <w:rsid w:val="00905A02"/>
    <w:rsid w:val="00B66EC1"/>
    <w:rsid w:val="00F8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6EC1"/>
  </w:style>
  <w:style w:type="paragraph" w:customStyle="1" w:styleId="c3">
    <w:name w:val="c3"/>
    <w:basedOn w:val="a"/>
    <w:rsid w:val="00B6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6EC1"/>
  </w:style>
  <w:style w:type="character" w:customStyle="1" w:styleId="c4">
    <w:name w:val="c4"/>
    <w:basedOn w:val="a0"/>
    <w:rsid w:val="00B66EC1"/>
  </w:style>
  <w:style w:type="character" w:customStyle="1" w:styleId="c16">
    <w:name w:val="c16"/>
    <w:basedOn w:val="a0"/>
    <w:rsid w:val="00B66EC1"/>
  </w:style>
  <w:style w:type="character" w:customStyle="1" w:styleId="c30">
    <w:name w:val="c30"/>
    <w:basedOn w:val="a0"/>
    <w:rsid w:val="00B66EC1"/>
  </w:style>
  <w:style w:type="paragraph" w:styleId="a3">
    <w:name w:val="Normal (Web)"/>
    <w:basedOn w:val="a"/>
    <w:uiPriority w:val="99"/>
    <w:semiHidden/>
    <w:unhideWhenUsed/>
    <w:rsid w:val="00B6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0.82000000000000006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0.18000000000000002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</c:v>
                </c:pt>
              </c:numCache>
            </c:numRef>
          </c:val>
        </c:ser>
        <c:axId val="189373440"/>
        <c:axId val="189445632"/>
      </c:barChart>
      <c:catAx>
        <c:axId val="189373440"/>
        <c:scaling>
          <c:orientation val="minMax"/>
        </c:scaling>
        <c:axPos val="b"/>
        <c:tickLblPos val="nextTo"/>
        <c:crossAx val="189445632"/>
        <c:crosses val="autoZero"/>
        <c:auto val="1"/>
        <c:lblAlgn val="ctr"/>
        <c:lblOffset val="100"/>
      </c:catAx>
      <c:valAx>
        <c:axId val="189445632"/>
        <c:scaling>
          <c:orientation val="minMax"/>
        </c:scaling>
        <c:axPos val="l"/>
        <c:majorGridlines/>
        <c:numFmt formatCode="0%" sourceLinked="1"/>
        <c:tickLblPos val="nextTo"/>
        <c:crossAx val="189373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0.44</c:v>
                </c:pt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0.12000000000000001</c:v>
                </c:pt>
                <c:pt idx="1">
                  <c:v>2.0000000000000004E-2</c:v>
                </c:pt>
              </c:numCache>
            </c:numRef>
          </c:val>
        </c:ser>
        <c:axId val="189868672"/>
        <c:axId val="189915520"/>
      </c:barChart>
      <c:catAx>
        <c:axId val="189868672"/>
        <c:scaling>
          <c:orientation val="minMax"/>
        </c:scaling>
        <c:axPos val="b"/>
        <c:tickLblPos val="nextTo"/>
        <c:crossAx val="189915520"/>
        <c:crosses val="autoZero"/>
        <c:auto val="1"/>
        <c:lblAlgn val="ctr"/>
        <c:lblOffset val="100"/>
      </c:catAx>
      <c:valAx>
        <c:axId val="189915520"/>
        <c:scaling>
          <c:orientation val="minMax"/>
        </c:scaling>
        <c:axPos val="l"/>
        <c:majorGridlines/>
        <c:numFmt formatCode="0%" sourceLinked="1"/>
        <c:tickLblPos val="nextTo"/>
        <c:crossAx val="18986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0.36000000000000004</c:v>
                </c:pt>
                <c:pt idx="1">
                  <c:v>0.38000000000000006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0.58000000000000007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8.0000000000000016E-2</c:v>
                </c:pt>
                <c:pt idx="1">
                  <c:v>4.0000000000000008E-2</c:v>
                </c:pt>
              </c:numCache>
            </c:numRef>
          </c:val>
        </c:ser>
        <c:axId val="215840256"/>
        <c:axId val="215922944"/>
      </c:barChart>
      <c:catAx>
        <c:axId val="215840256"/>
        <c:scaling>
          <c:orientation val="minMax"/>
        </c:scaling>
        <c:axPos val="b"/>
        <c:tickLblPos val="nextTo"/>
        <c:crossAx val="215922944"/>
        <c:crosses val="autoZero"/>
        <c:auto val="1"/>
        <c:lblAlgn val="ctr"/>
        <c:lblOffset val="100"/>
      </c:catAx>
      <c:valAx>
        <c:axId val="215922944"/>
        <c:scaling>
          <c:orientation val="minMax"/>
        </c:scaling>
        <c:axPos val="l"/>
        <c:majorGridlines/>
        <c:numFmt formatCode="0%" sourceLinked="1"/>
        <c:tickLblPos val="nextTo"/>
        <c:crossAx val="215840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0.58000000000000007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0.36000000000000004</c:v>
                </c:pt>
                <c:pt idx="1">
                  <c:v>0.41000000000000003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8.0000000000000016E-2</c:v>
                </c:pt>
                <c:pt idx="1">
                  <c:v>1.0000000000000002E-2</c:v>
                </c:pt>
              </c:numCache>
            </c:numRef>
          </c:val>
        </c:ser>
        <c:axId val="216942464"/>
        <c:axId val="216965888"/>
      </c:barChart>
      <c:catAx>
        <c:axId val="216942464"/>
        <c:scaling>
          <c:orientation val="minMax"/>
        </c:scaling>
        <c:axPos val="b"/>
        <c:tickLblPos val="nextTo"/>
        <c:crossAx val="216965888"/>
        <c:crosses val="autoZero"/>
        <c:auto val="1"/>
        <c:lblAlgn val="ctr"/>
        <c:lblOffset val="100"/>
      </c:catAx>
      <c:valAx>
        <c:axId val="216965888"/>
        <c:scaling>
          <c:orientation val="minMax"/>
        </c:scaling>
        <c:axPos val="l"/>
        <c:majorGridlines/>
        <c:numFmt formatCode="0%" sourceLinked="1"/>
        <c:tickLblPos val="nextTo"/>
        <c:crossAx val="216942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0.38000000000000006</c:v>
                </c:pt>
                <c:pt idx="1">
                  <c:v>0.48000000000000004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0.48000000000000004</c:v>
                </c:pt>
                <c:pt idx="1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1.0000000000000002E-2</c:v>
                </c:pt>
              </c:numCache>
            </c:numRef>
          </c:val>
        </c:ser>
        <c:axId val="217222528"/>
        <c:axId val="217339776"/>
      </c:barChart>
      <c:catAx>
        <c:axId val="217222528"/>
        <c:scaling>
          <c:orientation val="minMax"/>
        </c:scaling>
        <c:axPos val="b"/>
        <c:tickLblPos val="nextTo"/>
        <c:crossAx val="217339776"/>
        <c:crosses val="autoZero"/>
        <c:auto val="1"/>
        <c:lblAlgn val="ctr"/>
        <c:lblOffset val="100"/>
      </c:catAx>
      <c:valAx>
        <c:axId val="217339776"/>
        <c:scaling>
          <c:orientation val="minMax"/>
        </c:scaling>
        <c:axPos val="l"/>
        <c:majorGridlines/>
        <c:numFmt formatCode="0%" sourceLinked="1"/>
        <c:tickLblPos val="nextTo"/>
        <c:crossAx val="217222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2021-01-29T06:48:00Z</dcterms:created>
  <dcterms:modified xsi:type="dcterms:W3CDTF">2021-01-29T07:18:00Z</dcterms:modified>
</cp:coreProperties>
</file>